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ascii="宋体" w:hAnsi="宋体"/>
          <w:bCs/>
          <w:color w:val="000000"/>
          <w:sz w:val="36"/>
          <w:szCs w:val="36"/>
        </w:rPr>
      </w:pPr>
      <w:r>
        <w:rPr>
          <w:rFonts w:hint="eastAsia" w:ascii="宋体" w:hAnsi="宋体"/>
          <w:bCs/>
          <w:color w:val="000000"/>
          <w:sz w:val="36"/>
          <w:szCs w:val="36"/>
        </w:rPr>
        <w:t>2024年北京十一未来城学校小学部空间文化建设项目评分表</w:t>
      </w:r>
    </w:p>
    <w:tbl>
      <w:tblPr>
        <w:tblStyle w:val="2"/>
        <w:tblW w:w="13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700"/>
        <w:gridCol w:w="1700"/>
        <w:gridCol w:w="4115"/>
        <w:gridCol w:w="992"/>
        <w:gridCol w:w="1522"/>
        <w:gridCol w:w="1523"/>
        <w:gridCol w:w="1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02" w:type="dxa"/>
            <w:vAlign w:val="center"/>
          </w:tcPr>
          <w:p>
            <w:pPr>
              <w:spacing w:line="300" w:lineRule="auto"/>
              <w:jc w:val="center"/>
              <w:rPr>
                <w:rFonts w:ascii="黑体" w:hAnsi="黑体" w:eastAsia="黑体"/>
                <w:b/>
                <w:bCs/>
                <w:color w:val="000000"/>
                <w:sz w:val="20"/>
                <w:szCs w:val="20"/>
              </w:rPr>
            </w:pPr>
            <w:r>
              <w:rPr>
                <w:rFonts w:hint="eastAsia" w:ascii="黑体" w:hAnsi="黑体" w:eastAsia="黑体"/>
                <w:b/>
                <w:bCs/>
                <w:color w:val="000000"/>
                <w:sz w:val="20"/>
                <w:szCs w:val="20"/>
              </w:rPr>
              <w:t>序号</w:t>
            </w:r>
          </w:p>
        </w:tc>
        <w:tc>
          <w:tcPr>
            <w:tcW w:w="1700" w:type="dxa"/>
            <w:vAlign w:val="center"/>
          </w:tcPr>
          <w:p>
            <w:pPr>
              <w:spacing w:line="300" w:lineRule="auto"/>
              <w:jc w:val="center"/>
              <w:rPr>
                <w:rFonts w:ascii="黑体" w:hAnsi="黑体" w:eastAsia="黑体"/>
                <w:b/>
                <w:bCs/>
                <w:color w:val="000000"/>
                <w:sz w:val="20"/>
                <w:szCs w:val="20"/>
              </w:rPr>
            </w:pPr>
            <w:r>
              <w:rPr>
                <w:rFonts w:hint="eastAsia" w:ascii="黑体" w:hAnsi="黑体" w:eastAsia="黑体"/>
                <w:b/>
                <w:bCs/>
                <w:color w:val="000000"/>
                <w:sz w:val="20"/>
                <w:szCs w:val="20"/>
              </w:rPr>
              <w:t>评分细则分类</w:t>
            </w:r>
          </w:p>
        </w:tc>
        <w:tc>
          <w:tcPr>
            <w:tcW w:w="1700" w:type="dxa"/>
            <w:vAlign w:val="center"/>
          </w:tcPr>
          <w:p>
            <w:pPr>
              <w:spacing w:line="300" w:lineRule="auto"/>
              <w:jc w:val="center"/>
              <w:rPr>
                <w:rFonts w:ascii="黑体" w:hAnsi="黑体" w:eastAsia="黑体"/>
                <w:b/>
                <w:bCs/>
                <w:color w:val="000000"/>
                <w:sz w:val="20"/>
                <w:szCs w:val="20"/>
              </w:rPr>
            </w:pPr>
            <w:r>
              <w:rPr>
                <w:rFonts w:hint="eastAsia" w:ascii="黑体" w:hAnsi="黑体" w:eastAsia="黑体"/>
                <w:b/>
                <w:bCs/>
                <w:color w:val="000000"/>
                <w:sz w:val="20"/>
                <w:szCs w:val="20"/>
              </w:rPr>
              <w:t>评分细则内容</w:t>
            </w:r>
          </w:p>
        </w:tc>
        <w:tc>
          <w:tcPr>
            <w:tcW w:w="4115" w:type="dxa"/>
            <w:vAlign w:val="center"/>
          </w:tcPr>
          <w:p>
            <w:pPr>
              <w:spacing w:line="300" w:lineRule="auto"/>
              <w:ind w:left="-53" w:leftChars="-25" w:firstLine="50" w:firstLineChars="25"/>
              <w:jc w:val="center"/>
              <w:rPr>
                <w:rFonts w:ascii="黑体" w:hAnsi="黑体" w:eastAsia="黑体"/>
                <w:b/>
                <w:bCs/>
                <w:color w:val="000000"/>
                <w:sz w:val="20"/>
                <w:szCs w:val="20"/>
              </w:rPr>
            </w:pPr>
            <w:r>
              <w:rPr>
                <w:rFonts w:hint="eastAsia" w:ascii="黑体" w:hAnsi="黑体" w:eastAsia="黑体"/>
                <w:b/>
                <w:bCs/>
                <w:color w:val="000000"/>
                <w:sz w:val="20"/>
                <w:szCs w:val="20"/>
              </w:rPr>
              <w:t>评分细则说明</w:t>
            </w:r>
          </w:p>
        </w:tc>
        <w:tc>
          <w:tcPr>
            <w:tcW w:w="992" w:type="dxa"/>
            <w:vAlign w:val="center"/>
          </w:tcPr>
          <w:p>
            <w:pPr>
              <w:spacing w:line="300" w:lineRule="auto"/>
              <w:jc w:val="center"/>
              <w:rPr>
                <w:rFonts w:ascii="黑体" w:hAnsi="黑体" w:eastAsia="黑体"/>
                <w:b/>
                <w:bCs/>
                <w:color w:val="000000"/>
                <w:sz w:val="20"/>
                <w:szCs w:val="20"/>
              </w:rPr>
            </w:pPr>
            <w:r>
              <w:rPr>
                <w:rFonts w:hint="eastAsia" w:ascii="黑体" w:hAnsi="黑体" w:eastAsia="黑体"/>
                <w:b/>
                <w:bCs/>
                <w:color w:val="000000"/>
                <w:sz w:val="20"/>
                <w:szCs w:val="20"/>
              </w:rPr>
              <w:t>分值</w:t>
            </w:r>
          </w:p>
        </w:tc>
        <w:tc>
          <w:tcPr>
            <w:tcW w:w="1522" w:type="dxa"/>
            <w:vAlign w:val="center"/>
          </w:tcPr>
          <w:p>
            <w:pPr>
              <w:spacing w:line="300" w:lineRule="auto"/>
              <w:jc w:val="center"/>
              <w:rPr>
                <w:rFonts w:ascii="仿宋" w:hAnsi="仿宋" w:eastAsia="仿宋"/>
                <w:b/>
                <w:bCs/>
                <w:color w:val="000000"/>
                <w:sz w:val="20"/>
                <w:szCs w:val="20"/>
              </w:rPr>
            </w:pPr>
            <w:r>
              <w:rPr>
                <w:rFonts w:hint="eastAsia" w:ascii="仿宋" w:hAnsi="仿宋" w:eastAsia="仿宋"/>
                <w:b/>
                <w:bCs/>
                <w:color w:val="000000"/>
                <w:sz w:val="20"/>
                <w:szCs w:val="20"/>
              </w:rPr>
              <w:t>投标单位1：</w:t>
            </w:r>
          </w:p>
          <w:p>
            <w:pPr>
              <w:spacing w:line="300" w:lineRule="auto"/>
              <w:jc w:val="center"/>
              <w:rPr>
                <w:rFonts w:ascii="仿宋" w:hAnsi="仿宋" w:eastAsia="仿宋"/>
                <w:b/>
                <w:bCs/>
                <w:color w:val="000000"/>
                <w:sz w:val="20"/>
                <w:szCs w:val="20"/>
              </w:rPr>
            </w:pPr>
          </w:p>
        </w:tc>
        <w:tc>
          <w:tcPr>
            <w:tcW w:w="1523" w:type="dxa"/>
            <w:vAlign w:val="center"/>
          </w:tcPr>
          <w:p>
            <w:pPr>
              <w:spacing w:line="300" w:lineRule="auto"/>
              <w:jc w:val="center"/>
              <w:rPr>
                <w:rFonts w:ascii="仿宋" w:hAnsi="仿宋" w:eastAsia="仿宋"/>
                <w:b/>
                <w:bCs/>
                <w:color w:val="000000"/>
                <w:sz w:val="20"/>
                <w:szCs w:val="20"/>
              </w:rPr>
            </w:pPr>
            <w:r>
              <w:rPr>
                <w:rFonts w:hint="eastAsia" w:ascii="仿宋" w:hAnsi="仿宋" w:eastAsia="仿宋"/>
                <w:b/>
                <w:bCs/>
                <w:color w:val="000000"/>
                <w:sz w:val="20"/>
                <w:szCs w:val="20"/>
              </w:rPr>
              <w:t>投标单位2：</w:t>
            </w:r>
          </w:p>
          <w:p>
            <w:pPr>
              <w:spacing w:line="300" w:lineRule="auto"/>
              <w:jc w:val="center"/>
              <w:rPr>
                <w:rFonts w:ascii="仿宋" w:hAnsi="仿宋" w:eastAsia="仿宋"/>
                <w:b/>
                <w:bCs/>
                <w:color w:val="000000"/>
                <w:sz w:val="20"/>
                <w:szCs w:val="20"/>
              </w:rPr>
            </w:pPr>
          </w:p>
        </w:tc>
        <w:tc>
          <w:tcPr>
            <w:tcW w:w="1522" w:type="dxa"/>
            <w:vAlign w:val="center"/>
          </w:tcPr>
          <w:p>
            <w:pPr>
              <w:spacing w:line="300" w:lineRule="auto"/>
              <w:jc w:val="center"/>
              <w:rPr>
                <w:rFonts w:ascii="仿宋" w:hAnsi="仿宋" w:eastAsia="仿宋"/>
                <w:b/>
                <w:bCs/>
                <w:color w:val="000000"/>
                <w:sz w:val="20"/>
                <w:szCs w:val="20"/>
              </w:rPr>
            </w:pPr>
            <w:r>
              <w:rPr>
                <w:rFonts w:hint="eastAsia" w:ascii="仿宋" w:hAnsi="仿宋" w:eastAsia="仿宋"/>
                <w:b/>
                <w:bCs/>
                <w:color w:val="000000"/>
                <w:sz w:val="20"/>
                <w:szCs w:val="20"/>
              </w:rPr>
              <w:t>投标单位3：</w:t>
            </w:r>
          </w:p>
          <w:p>
            <w:pPr>
              <w:spacing w:line="300" w:lineRule="auto"/>
              <w:jc w:val="center"/>
              <w:rPr>
                <w:rFonts w:ascii="仿宋" w:hAnsi="仿宋" w:eastAsia="仿宋"/>
                <w:b/>
                <w:bCs/>
                <w:color w:val="0000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02" w:type="dxa"/>
            <w:vAlign w:val="center"/>
          </w:tcPr>
          <w:p>
            <w:pPr>
              <w:spacing w:line="300" w:lineRule="auto"/>
              <w:jc w:val="center"/>
              <w:rPr>
                <w:rFonts w:eastAsia="华文中宋"/>
                <w:color w:val="000000"/>
                <w:sz w:val="16"/>
                <w:szCs w:val="16"/>
              </w:rPr>
            </w:pPr>
            <w:r>
              <w:rPr>
                <w:rFonts w:eastAsia="华文中宋"/>
                <w:color w:val="000000"/>
                <w:sz w:val="16"/>
                <w:szCs w:val="16"/>
              </w:rPr>
              <w:t>1</w:t>
            </w:r>
          </w:p>
        </w:tc>
        <w:tc>
          <w:tcPr>
            <w:tcW w:w="1700" w:type="dxa"/>
            <w:vAlign w:val="center"/>
          </w:tcPr>
          <w:p>
            <w:pPr>
              <w:spacing w:line="300" w:lineRule="auto"/>
              <w:jc w:val="center"/>
              <w:rPr>
                <w:rFonts w:ascii="仿宋" w:hAnsi="仿宋" w:eastAsia="仿宋"/>
                <w:color w:val="000000"/>
                <w:sz w:val="16"/>
                <w:szCs w:val="16"/>
              </w:rPr>
            </w:pPr>
            <w:r>
              <w:rPr>
                <w:rFonts w:hint="eastAsia" w:ascii="仿宋" w:hAnsi="仿宋" w:eastAsia="仿宋"/>
                <w:color w:val="000000"/>
                <w:sz w:val="16"/>
                <w:szCs w:val="16"/>
              </w:rPr>
              <w:t>价格</w:t>
            </w:r>
          </w:p>
        </w:tc>
        <w:tc>
          <w:tcPr>
            <w:tcW w:w="1700" w:type="dxa"/>
            <w:vAlign w:val="center"/>
          </w:tcPr>
          <w:p>
            <w:pPr>
              <w:spacing w:line="300" w:lineRule="auto"/>
              <w:jc w:val="center"/>
              <w:rPr>
                <w:rFonts w:ascii="仿宋" w:hAnsi="仿宋" w:eastAsia="仿宋"/>
                <w:color w:val="000000"/>
                <w:sz w:val="16"/>
                <w:szCs w:val="16"/>
              </w:rPr>
            </w:pPr>
            <w:r>
              <w:rPr>
                <w:rFonts w:hint="eastAsia" w:ascii="仿宋" w:hAnsi="仿宋" w:eastAsia="仿宋"/>
                <w:color w:val="000000"/>
                <w:sz w:val="16"/>
                <w:szCs w:val="16"/>
              </w:rPr>
              <w:t>投标报价</w:t>
            </w:r>
          </w:p>
        </w:tc>
        <w:tc>
          <w:tcPr>
            <w:tcW w:w="4115" w:type="dxa"/>
            <w:vAlign w:val="center"/>
          </w:tcPr>
          <w:p>
            <w:pPr>
              <w:ind w:left="-53" w:leftChars="-25"/>
              <w:rPr>
                <w:rFonts w:ascii="仿宋" w:hAnsi="仿宋" w:eastAsia="仿宋"/>
                <w:sz w:val="16"/>
                <w:szCs w:val="16"/>
              </w:rPr>
            </w:pPr>
            <w:r>
              <w:rPr>
                <w:rFonts w:hint="eastAsia" w:ascii="仿宋" w:hAnsi="仿宋" w:eastAsia="仿宋"/>
                <w:sz w:val="16"/>
                <w:szCs w:val="16"/>
              </w:rPr>
              <w:t>在满足学校需求的情况且投标价格最低的投标报价为评分基准价，价格分为满分</w:t>
            </w:r>
            <w:r>
              <w:rPr>
                <w:rFonts w:ascii="仿宋" w:hAnsi="仿宋" w:eastAsia="仿宋"/>
                <w:sz w:val="16"/>
                <w:szCs w:val="16"/>
              </w:rPr>
              <w:t>25</w:t>
            </w:r>
            <w:r>
              <w:rPr>
                <w:rFonts w:hint="eastAsia" w:ascii="仿宋" w:hAnsi="仿宋" w:eastAsia="仿宋"/>
                <w:sz w:val="16"/>
                <w:szCs w:val="16"/>
              </w:rPr>
              <w:t>分。其他投标人价格分统一按照下列公式计算：投标报价得分=（评标基准价/投标报价）*</w:t>
            </w:r>
            <w:r>
              <w:rPr>
                <w:rFonts w:ascii="仿宋" w:hAnsi="仿宋" w:eastAsia="仿宋"/>
                <w:sz w:val="16"/>
                <w:szCs w:val="16"/>
              </w:rPr>
              <w:t>25</w:t>
            </w:r>
            <w:r>
              <w:rPr>
                <w:rFonts w:hint="eastAsia" w:ascii="仿宋" w:hAnsi="仿宋" w:eastAsia="仿宋"/>
                <w:sz w:val="16"/>
                <w:szCs w:val="16"/>
              </w:rPr>
              <w:t>。</w:t>
            </w:r>
          </w:p>
        </w:tc>
        <w:tc>
          <w:tcPr>
            <w:tcW w:w="992" w:type="dxa"/>
            <w:vAlign w:val="center"/>
          </w:tcPr>
          <w:p>
            <w:pPr>
              <w:spacing w:line="300" w:lineRule="auto"/>
              <w:jc w:val="center"/>
              <w:rPr>
                <w:rFonts w:eastAsiaTheme="minorEastAsia"/>
                <w:color w:val="000000"/>
                <w:sz w:val="16"/>
                <w:szCs w:val="16"/>
              </w:rPr>
            </w:pPr>
            <w:r>
              <w:rPr>
                <w:rFonts w:eastAsiaTheme="minorEastAsia"/>
                <w:color w:val="000000"/>
                <w:sz w:val="16"/>
                <w:szCs w:val="16"/>
              </w:rPr>
              <w:t>0-25</w:t>
            </w:r>
          </w:p>
        </w:tc>
        <w:tc>
          <w:tcPr>
            <w:tcW w:w="1522" w:type="dxa"/>
            <w:vAlign w:val="center"/>
          </w:tcPr>
          <w:p>
            <w:pPr>
              <w:ind w:left="480" w:hanging="480"/>
              <w:jc w:val="center"/>
              <w:rPr>
                <w:rFonts w:ascii="华文中宋" w:hAnsi="华文中宋" w:eastAsia="华文中宋"/>
                <w:color w:val="000000"/>
                <w:sz w:val="16"/>
                <w:szCs w:val="16"/>
              </w:rPr>
            </w:pPr>
          </w:p>
        </w:tc>
        <w:tc>
          <w:tcPr>
            <w:tcW w:w="1523" w:type="dxa"/>
            <w:vAlign w:val="center"/>
          </w:tcPr>
          <w:p>
            <w:pPr>
              <w:ind w:left="480" w:hanging="480"/>
              <w:jc w:val="center"/>
              <w:rPr>
                <w:rFonts w:ascii="华文中宋" w:hAnsi="华文中宋" w:eastAsia="华文中宋"/>
                <w:color w:val="000000"/>
                <w:sz w:val="16"/>
                <w:szCs w:val="16"/>
              </w:rPr>
            </w:pPr>
          </w:p>
        </w:tc>
        <w:tc>
          <w:tcPr>
            <w:tcW w:w="1522" w:type="dxa"/>
            <w:vAlign w:val="center"/>
          </w:tcPr>
          <w:p>
            <w:pPr>
              <w:ind w:left="480" w:hanging="480"/>
              <w:jc w:val="center"/>
              <w:rPr>
                <w:rFonts w:ascii="华文中宋" w:hAnsi="华文中宋" w:eastAsia="华文中宋"/>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02" w:type="dxa"/>
            <w:vMerge w:val="restart"/>
            <w:vAlign w:val="center"/>
          </w:tcPr>
          <w:p>
            <w:pPr>
              <w:spacing w:line="300" w:lineRule="auto"/>
              <w:jc w:val="center"/>
              <w:rPr>
                <w:rFonts w:eastAsia="华文中宋"/>
                <w:color w:val="000000"/>
                <w:sz w:val="16"/>
                <w:szCs w:val="16"/>
              </w:rPr>
            </w:pPr>
            <w:r>
              <w:rPr>
                <w:rFonts w:eastAsia="华文中宋"/>
                <w:color w:val="000000"/>
                <w:sz w:val="16"/>
                <w:szCs w:val="16"/>
              </w:rPr>
              <w:t>2</w:t>
            </w:r>
          </w:p>
        </w:tc>
        <w:tc>
          <w:tcPr>
            <w:tcW w:w="1700" w:type="dxa"/>
            <w:vMerge w:val="restart"/>
            <w:vAlign w:val="center"/>
          </w:tcPr>
          <w:p>
            <w:pPr>
              <w:spacing w:line="300" w:lineRule="auto"/>
              <w:jc w:val="center"/>
              <w:rPr>
                <w:rFonts w:ascii="仿宋" w:hAnsi="仿宋" w:eastAsia="仿宋"/>
                <w:color w:val="000000"/>
                <w:sz w:val="16"/>
                <w:szCs w:val="16"/>
              </w:rPr>
            </w:pPr>
            <w:r>
              <w:rPr>
                <w:rFonts w:hint="eastAsia" w:ascii="仿宋" w:hAnsi="仿宋" w:eastAsia="仿宋"/>
                <w:color w:val="000000"/>
                <w:sz w:val="16"/>
                <w:szCs w:val="16"/>
              </w:rPr>
              <w:t>服务管理及服务方案</w:t>
            </w:r>
          </w:p>
        </w:tc>
        <w:tc>
          <w:tcPr>
            <w:tcW w:w="1700" w:type="dxa"/>
            <w:vMerge w:val="restart"/>
            <w:vAlign w:val="center"/>
          </w:tcPr>
          <w:p>
            <w:pPr>
              <w:spacing w:line="300" w:lineRule="auto"/>
              <w:jc w:val="center"/>
              <w:rPr>
                <w:rFonts w:ascii="仿宋" w:hAnsi="仿宋" w:eastAsia="仿宋"/>
                <w:color w:val="000000"/>
                <w:sz w:val="16"/>
                <w:szCs w:val="16"/>
              </w:rPr>
            </w:pPr>
            <w:r>
              <w:rPr>
                <w:rFonts w:hint="eastAsia" w:ascii="仿宋" w:hAnsi="仿宋" w:eastAsia="仿宋"/>
                <w:color w:val="000000"/>
                <w:sz w:val="16"/>
                <w:szCs w:val="16"/>
              </w:rPr>
              <w:t>服务整体</w:t>
            </w:r>
          </w:p>
        </w:tc>
        <w:tc>
          <w:tcPr>
            <w:tcW w:w="4115" w:type="dxa"/>
            <w:vAlign w:val="center"/>
          </w:tcPr>
          <w:p>
            <w:pPr>
              <w:ind w:left="-53" w:leftChars="-25" w:firstLine="40" w:firstLineChars="25"/>
              <w:rPr>
                <w:rFonts w:ascii="仿宋" w:hAnsi="仿宋" w:eastAsia="仿宋"/>
                <w:color w:val="000000"/>
                <w:sz w:val="16"/>
                <w:szCs w:val="16"/>
              </w:rPr>
            </w:pPr>
            <w:r>
              <w:rPr>
                <w:rFonts w:hint="eastAsia" w:ascii="仿宋" w:hAnsi="仿宋" w:eastAsia="仿宋"/>
                <w:color w:val="000000"/>
                <w:sz w:val="16"/>
                <w:szCs w:val="16"/>
              </w:rPr>
              <w:t>对本项目服务管理的整体设想及策划、服务方案、人员安排、服务指标承诺等。</w:t>
            </w:r>
          </w:p>
          <w:p>
            <w:pPr>
              <w:ind w:left="-53" w:leftChars="-25" w:firstLine="40" w:firstLineChars="25"/>
              <w:rPr>
                <w:rFonts w:ascii="仿宋" w:hAnsi="仿宋" w:eastAsia="仿宋"/>
                <w:color w:val="000000"/>
                <w:sz w:val="16"/>
                <w:szCs w:val="16"/>
              </w:rPr>
            </w:pPr>
            <w:r>
              <w:rPr>
                <w:rFonts w:hint="eastAsia" w:ascii="仿宋" w:hAnsi="仿宋" w:eastAsia="仿宋"/>
                <w:color w:val="000000"/>
                <w:sz w:val="16"/>
                <w:szCs w:val="16"/>
              </w:rPr>
              <w:t>考察投标人对本项目的理解程度及项目实施方案，全部满足需求简述得</w:t>
            </w:r>
            <w:r>
              <w:rPr>
                <w:rFonts w:ascii="仿宋" w:hAnsi="仿宋" w:eastAsia="仿宋"/>
                <w:color w:val="000000"/>
                <w:sz w:val="16"/>
                <w:szCs w:val="16"/>
              </w:rPr>
              <w:t>30</w:t>
            </w:r>
            <w:r>
              <w:rPr>
                <w:rFonts w:hint="eastAsia" w:ascii="仿宋" w:hAnsi="仿宋" w:eastAsia="仿宋"/>
                <w:color w:val="000000"/>
                <w:sz w:val="16"/>
                <w:szCs w:val="16"/>
              </w:rPr>
              <w:t>分，每一点负偏离扣5分，扣完为止。</w:t>
            </w:r>
          </w:p>
        </w:tc>
        <w:tc>
          <w:tcPr>
            <w:tcW w:w="992" w:type="dxa"/>
            <w:vAlign w:val="center"/>
          </w:tcPr>
          <w:p>
            <w:pPr>
              <w:jc w:val="center"/>
              <w:rPr>
                <w:rFonts w:eastAsiaTheme="minorEastAsia"/>
                <w:color w:val="000000"/>
                <w:sz w:val="16"/>
                <w:szCs w:val="16"/>
              </w:rPr>
            </w:pPr>
            <w:r>
              <w:rPr>
                <w:rFonts w:eastAsiaTheme="minorEastAsia"/>
                <w:color w:val="000000"/>
                <w:sz w:val="16"/>
                <w:szCs w:val="16"/>
              </w:rPr>
              <w:t>0-</w:t>
            </w:r>
            <w:r>
              <w:rPr>
                <w:rFonts w:hint="eastAsia" w:eastAsiaTheme="minorEastAsia"/>
                <w:color w:val="000000"/>
                <w:sz w:val="16"/>
                <w:szCs w:val="16"/>
              </w:rPr>
              <w:t>30</w:t>
            </w:r>
          </w:p>
        </w:tc>
        <w:tc>
          <w:tcPr>
            <w:tcW w:w="1522" w:type="dxa"/>
            <w:vAlign w:val="center"/>
          </w:tcPr>
          <w:p>
            <w:pPr>
              <w:spacing w:line="300" w:lineRule="auto"/>
              <w:jc w:val="center"/>
              <w:rPr>
                <w:rFonts w:ascii="华文中宋" w:hAnsi="华文中宋" w:eastAsia="华文中宋"/>
                <w:color w:val="000000"/>
                <w:sz w:val="16"/>
                <w:szCs w:val="16"/>
              </w:rPr>
            </w:pPr>
          </w:p>
        </w:tc>
        <w:tc>
          <w:tcPr>
            <w:tcW w:w="1523" w:type="dxa"/>
            <w:vAlign w:val="center"/>
          </w:tcPr>
          <w:p>
            <w:pPr>
              <w:spacing w:line="300" w:lineRule="auto"/>
              <w:jc w:val="center"/>
              <w:rPr>
                <w:rFonts w:ascii="华文中宋" w:hAnsi="华文中宋" w:eastAsia="华文中宋"/>
                <w:color w:val="000000"/>
                <w:sz w:val="16"/>
                <w:szCs w:val="16"/>
              </w:rPr>
            </w:pPr>
          </w:p>
        </w:tc>
        <w:tc>
          <w:tcPr>
            <w:tcW w:w="1522" w:type="dxa"/>
            <w:vAlign w:val="center"/>
          </w:tcPr>
          <w:p>
            <w:pPr>
              <w:spacing w:line="300" w:lineRule="auto"/>
              <w:jc w:val="center"/>
              <w:rPr>
                <w:rFonts w:ascii="华文中宋" w:hAnsi="华文中宋" w:eastAsia="华文中宋"/>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02" w:type="dxa"/>
            <w:vMerge w:val="continue"/>
            <w:vAlign w:val="center"/>
          </w:tcPr>
          <w:p>
            <w:pPr>
              <w:spacing w:line="300" w:lineRule="auto"/>
              <w:jc w:val="center"/>
              <w:rPr>
                <w:rFonts w:eastAsia="华文中宋"/>
                <w:color w:val="000000"/>
                <w:sz w:val="16"/>
                <w:szCs w:val="16"/>
              </w:rPr>
            </w:pPr>
          </w:p>
        </w:tc>
        <w:tc>
          <w:tcPr>
            <w:tcW w:w="1700" w:type="dxa"/>
            <w:vMerge w:val="continue"/>
            <w:vAlign w:val="center"/>
          </w:tcPr>
          <w:p>
            <w:pPr>
              <w:spacing w:line="300" w:lineRule="auto"/>
              <w:jc w:val="center"/>
              <w:rPr>
                <w:rFonts w:ascii="仿宋" w:hAnsi="仿宋" w:eastAsia="仿宋"/>
                <w:color w:val="000000"/>
                <w:sz w:val="16"/>
                <w:szCs w:val="16"/>
              </w:rPr>
            </w:pPr>
          </w:p>
        </w:tc>
        <w:tc>
          <w:tcPr>
            <w:tcW w:w="1700" w:type="dxa"/>
            <w:vMerge w:val="continue"/>
            <w:vAlign w:val="center"/>
          </w:tcPr>
          <w:p>
            <w:pPr>
              <w:spacing w:line="300" w:lineRule="auto"/>
              <w:jc w:val="center"/>
              <w:rPr>
                <w:rFonts w:ascii="仿宋" w:hAnsi="仿宋" w:eastAsia="仿宋"/>
                <w:color w:val="000000"/>
                <w:sz w:val="16"/>
                <w:szCs w:val="16"/>
              </w:rPr>
            </w:pPr>
          </w:p>
        </w:tc>
        <w:tc>
          <w:tcPr>
            <w:tcW w:w="4115" w:type="dxa"/>
            <w:vAlign w:val="center"/>
          </w:tcPr>
          <w:p>
            <w:pPr>
              <w:spacing w:line="300" w:lineRule="auto"/>
              <w:ind w:left="-53" w:leftChars="-25" w:firstLine="40" w:firstLineChars="25"/>
              <w:rPr>
                <w:rFonts w:ascii="仿宋" w:hAnsi="仿宋" w:eastAsia="仿宋"/>
                <w:color w:val="000000"/>
                <w:sz w:val="16"/>
                <w:szCs w:val="16"/>
              </w:rPr>
            </w:pPr>
            <w:r>
              <w:rPr>
                <w:rFonts w:hint="eastAsia" w:ascii="仿宋" w:hAnsi="仿宋" w:eastAsia="仿宋"/>
                <w:color w:val="000000"/>
                <w:sz w:val="16"/>
                <w:szCs w:val="16"/>
              </w:rPr>
              <w:t>应急措施预案，有完整的应急措施预案得1</w:t>
            </w:r>
            <w:r>
              <w:rPr>
                <w:rFonts w:ascii="仿宋" w:hAnsi="仿宋" w:eastAsia="仿宋"/>
                <w:color w:val="000000"/>
                <w:sz w:val="16"/>
                <w:szCs w:val="16"/>
              </w:rPr>
              <w:t>0</w:t>
            </w:r>
            <w:r>
              <w:rPr>
                <w:rFonts w:hint="eastAsia" w:ascii="仿宋" w:hAnsi="仿宋" w:eastAsia="仿宋"/>
                <w:color w:val="000000"/>
                <w:sz w:val="16"/>
                <w:szCs w:val="16"/>
              </w:rPr>
              <w:t>分，有简单的应急预案得</w:t>
            </w:r>
            <w:r>
              <w:rPr>
                <w:rFonts w:ascii="仿宋" w:hAnsi="仿宋" w:eastAsia="仿宋"/>
                <w:color w:val="000000"/>
                <w:sz w:val="16"/>
                <w:szCs w:val="16"/>
              </w:rPr>
              <w:t>5</w:t>
            </w:r>
            <w:r>
              <w:rPr>
                <w:rFonts w:hint="eastAsia" w:ascii="仿宋" w:hAnsi="仿宋" w:eastAsia="仿宋"/>
                <w:color w:val="000000"/>
                <w:sz w:val="16"/>
                <w:szCs w:val="16"/>
              </w:rPr>
              <w:t>分，无应急预案为0分。</w:t>
            </w:r>
          </w:p>
        </w:tc>
        <w:tc>
          <w:tcPr>
            <w:tcW w:w="992" w:type="dxa"/>
            <w:vAlign w:val="center"/>
          </w:tcPr>
          <w:p>
            <w:pPr>
              <w:jc w:val="center"/>
              <w:rPr>
                <w:rFonts w:eastAsiaTheme="minorEastAsia"/>
                <w:color w:val="000000"/>
                <w:sz w:val="16"/>
                <w:szCs w:val="16"/>
              </w:rPr>
            </w:pPr>
            <w:r>
              <w:rPr>
                <w:rFonts w:eastAsiaTheme="minorEastAsia"/>
                <w:color w:val="000000"/>
                <w:sz w:val="16"/>
                <w:szCs w:val="16"/>
              </w:rPr>
              <w:t>0-10</w:t>
            </w:r>
          </w:p>
        </w:tc>
        <w:tc>
          <w:tcPr>
            <w:tcW w:w="1522" w:type="dxa"/>
            <w:vAlign w:val="center"/>
          </w:tcPr>
          <w:p>
            <w:pPr>
              <w:spacing w:line="300" w:lineRule="auto"/>
              <w:jc w:val="center"/>
              <w:rPr>
                <w:rFonts w:ascii="华文中宋" w:hAnsi="华文中宋" w:eastAsia="华文中宋"/>
                <w:color w:val="000000"/>
                <w:sz w:val="16"/>
                <w:szCs w:val="16"/>
              </w:rPr>
            </w:pPr>
          </w:p>
        </w:tc>
        <w:tc>
          <w:tcPr>
            <w:tcW w:w="1523" w:type="dxa"/>
            <w:vAlign w:val="center"/>
          </w:tcPr>
          <w:p>
            <w:pPr>
              <w:spacing w:line="300" w:lineRule="auto"/>
              <w:jc w:val="center"/>
              <w:rPr>
                <w:rFonts w:ascii="华文中宋" w:hAnsi="华文中宋" w:eastAsia="华文中宋"/>
                <w:color w:val="000000"/>
                <w:sz w:val="16"/>
                <w:szCs w:val="16"/>
              </w:rPr>
            </w:pPr>
          </w:p>
        </w:tc>
        <w:tc>
          <w:tcPr>
            <w:tcW w:w="1522" w:type="dxa"/>
            <w:vAlign w:val="center"/>
          </w:tcPr>
          <w:p>
            <w:pPr>
              <w:spacing w:line="300" w:lineRule="auto"/>
              <w:jc w:val="center"/>
              <w:rPr>
                <w:rFonts w:ascii="华文中宋" w:hAnsi="华文中宋" w:eastAsia="华文中宋"/>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02" w:type="dxa"/>
            <w:vMerge w:val="continue"/>
            <w:vAlign w:val="center"/>
          </w:tcPr>
          <w:p>
            <w:pPr>
              <w:spacing w:line="300" w:lineRule="auto"/>
              <w:jc w:val="center"/>
              <w:rPr>
                <w:rFonts w:eastAsia="华文中宋"/>
                <w:color w:val="000000"/>
                <w:sz w:val="16"/>
                <w:szCs w:val="16"/>
              </w:rPr>
            </w:pPr>
          </w:p>
        </w:tc>
        <w:tc>
          <w:tcPr>
            <w:tcW w:w="1700" w:type="dxa"/>
            <w:vMerge w:val="continue"/>
            <w:vAlign w:val="center"/>
          </w:tcPr>
          <w:p>
            <w:pPr>
              <w:spacing w:line="300" w:lineRule="auto"/>
              <w:jc w:val="center"/>
              <w:rPr>
                <w:rFonts w:ascii="仿宋" w:hAnsi="仿宋" w:eastAsia="仿宋"/>
                <w:color w:val="000000"/>
                <w:sz w:val="16"/>
                <w:szCs w:val="16"/>
              </w:rPr>
            </w:pPr>
          </w:p>
        </w:tc>
        <w:tc>
          <w:tcPr>
            <w:tcW w:w="1700" w:type="dxa"/>
            <w:vAlign w:val="center"/>
          </w:tcPr>
          <w:p>
            <w:pPr>
              <w:spacing w:line="300" w:lineRule="auto"/>
              <w:jc w:val="center"/>
              <w:rPr>
                <w:rFonts w:ascii="仿宋" w:hAnsi="仿宋" w:eastAsia="仿宋"/>
                <w:color w:val="000000"/>
                <w:sz w:val="16"/>
                <w:szCs w:val="16"/>
              </w:rPr>
            </w:pPr>
            <w:r>
              <w:rPr>
                <w:rFonts w:hint="eastAsia" w:ascii="仿宋" w:hAnsi="仿宋" w:eastAsia="仿宋"/>
                <w:color w:val="000000"/>
                <w:sz w:val="16"/>
                <w:szCs w:val="16"/>
              </w:rPr>
              <w:t>售后服务承诺</w:t>
            </w:r>
          </w:p>
        </w:tc>
        <w:tc>
          <w:tcPr>
            <w:tcW w:w="4115" w:type="dxa"/>
            <w:vAlign w:val="center"/>
          </w:tcPr>
          <w:p>
            <w:pPr>
              <w:ind w:left="-53" w:leftChars="-25" w:firstLine="40" w:firstLineChars="25"/>
              <w:rPr>
                <w:rFonts w:ascii="仿宋" w:hAnsi="仿宋" w:eastAsia="仿宋"/>
                <w:color w:val="000000"/>
                <w:sz w:val="16"/>
                <w:szCs w:val="16"/>
              </w:rPr>
            </w:pPr>
            <w:r>
              <w:rPr>
                <w:rFonts w:hint="eastAsia" w:ascii="仿宋" w:hAnsi="仿宋" w:eastAsia="仿宋"/>
                <w:color w:val="000000"/>
                <w:sz w:val="16"/>
                <w:szCs w:val="16"/>
              </w:rPr>
              <w:t>售后服务提供三年维保，非人为故意破坏情况下，能满足第一年免费上门维保，第二、三年有偿上门维保。根据投标人能够提供的相应维保年限服务，全部满足需求得1</w:t>
            </w:r>
            <w:r>
              <w:rPr>
                <w:rFonts w:ascii="仿宋" w:hAnsi="仿宋" w:eastAsia="仿宋"/>
                <w:color w:val="000000"/>
                <w:sz w:val="16"/>
                <w:szCs w:val="16"/>
              </w:rPr>
              <w:t>5</w:t>
            </w:r>
            <w:r>
              <w:rPr>
                <w:rFonts w:hint="eastAsia" w:ascii="仿宋" w:hAnsi="仿宋" w:eastAsia="仿宋"/>
                <w:color w:val="000000"/>
                <w:sz w:val="16"/>
                <w:szCs w:val="16"/>
              </w:rPr>
              <w:t>分，每点偏离扣5分，扣完为止。</w:t>
            </w:r>
          </w:p>
          <w:p>
            <w:pPr>
              <w:ind w:left="-53" w:leftChars="-25" w:firstLine="40" w:firstLineChars="25"/>
              <w:rPr>
                <w:rFonts w:ascii="仿宋" w:hAnsi="仿宋" w:eastAsia="仿宋"/>
                <w:color w:val="000000"/>
                <w:sz w:val="16"/>
                <w:szCs w:val="16"/>
              </w:rPr>
            </w:pPr>
          </w:p>
        </w:tc>
        <w:tc>
          <w:tcPr>
            <w:tcW w:w="992" w:type="dxa"/>
            <w:vAlign w:val="center"/>
          </w:tcPr>
          <w:p>
            <w:pPr>
              <w:jc w:val="center"/>
              <w:rPr>
                <w:rFonts w:eastAsiaTheme="minorEastAsia"/>
                <w:color w:val="000000"/>
                <w:sz w:val="16"/>
                <w:szCs w:val="16"/>
              </w:rPr>
            </w:pPr>
            <w:r>
              <w:rPr>
                <w:rFonts w:eastAsiaTheme="minorEastAsia"/>
                <w:color w:val="000000"/>
                <w:sz w:val="16"/>
                <w:szCs w:val="16"/>
              </w:rPr>
              <w:t>0-15</w:t>
            </w:r>
          </w:p>
        </w:tc>
        <w:tc>
          <w:tcPr>
            <w:tcW w:w="1522" w:type="dxa"/>
            <w:vAlign w:val="center"/>
          </w:tcPr>
          <w:p>
            <w:pPr>
              <w:spacing w:line="300" w:lineRule="auto"/>
              <w:jc w:val="center"/>
              <w:rPr>
                <w:rFonts w:ascii="华文中宋" w:hAnsi="华文中宋" w:eastAsia="华文中宋"/>
                <w:color w:val="000000"/>
                <w:sz w:val="16"/>
                <w:szCs w:val="16"/>
              </w:rPr>
            </w:pPr>
          </w:p>
        </w:tc>
        <w:tc>
          <w:tcPr>
            <w:tcW w:w="1523" w:type="dxa"/>
            <w:vAlign w:val="center"/>
          </w:tcPr>
          <w:p>
            <w:pPr>
              <w:spacing w:line="300" w:lineRule="auto"/>
              <w:jc w:val="center"/>
              <w:rPr>
                <w:rFonts w:ascii="华文中宋" w:hAnsi="华文中宋" w:eastAsia="华文中宋"/>
                <w:color w:val="000000"/>
                <w:sz w:val="16"/>
                <w:szCs w:val="16"/>
              </w:rPr>
            </w:pPr>
          </w:p>
        </w:tc>
        <w:tc>
          <w:tcPr>
            <w:tcW w:w="1522" w:type="dxa"/>
            <w:vAlign w:val="center"/>
          </w:tcPr>
          <w:p>
            <w:pPr>
              <w:spacing w:line="300" w:lineRule="auto"/>
              <w:jc w:val="center"/>
              <w:rPr>
                <w:rFonts w:ascii="华文中宋" w:hAnsi="华文中宋" w:eastAsia="华文中宋"/>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702" w:type="dxa"/>
            <w:vAlign w:val="center"/>
          </w:tcPr>
          <w:p>
            <w:pPr>
              <w:spacing w:line="300" w:lineRule="auto"/>
              <w:jc w:val="center"/>
              <w:rPr>
                <w:rFonts w:eastAsia="华文中宋"/>
                <w:color w:val="000000"/>
                <w:sz w:val="16"/>
                <w:szCs w:val="16"/>
              </w:rPr>
            </w:pPr>
            <w:r>
              <w:rPr>
                <w:rFonts w:eastAsia="华文中宋"/>
                <w:color w:val="000000"/>
                <w:sz w:val="16"/>
                <w:szCs w:val="16"/>
              </w:rPr>
              <w:t>3</w:t>
            </w:r>
          </w:p>
        </w:tc>
        <w:tc>
          <w:tcPr>
            <w:tcW w:w="1700" w:type="dxa"/>
            <w:vAlign w:val="center"/>
          </w:tcPr>
          <w:p>
            <w:pPr>
              <w:spacing w:line="300" w:lineRule="auto"/>
              <w:jc w:val="center"/>
              <w:rPr>
                <w:rFonts w:ascii="仿宋" w:hAnsi="仿宋" w:eastAsia="仿宋"/>
                <w:color w:val="000000"/>
                <w:sz w:val="16"/>
                <w:szCs w:val="16"/>
              </w:rPr>
            </w:pPr>
            <w:r>
              <w:rPr>
                <w:rFonts w:hint="eastAsia" w:ascii="仿宋" w:hAnsi="仿宋" w:eastAsia="仿宋"/>
                <w:color w:val="000000"/>
                <w:sz w:val="16"/>
                <w:szCs w:val="16"/>
              </w:rPr>
              <w:t>项目业绩</w:t>
            </w:r>
          </w:p>
        </w:tc>
        <w:tc>
          <w:tcPr>
            <w:tcW w:w="1700" w:type="dxa"/>
            <w:vAlign w:val="center"/>
          </w:tcPr>
          <w:p>
            <w:pPr>
              <w:spacing w:line="276" w:lineRule="auto"/>
              <w:jc w:val="center"/>
              <w:rPr>
                <w:rFonts w:ascii="仿宋" w:hAnsi="仿宋" w:eastAsia="仿宋"/>
                <w:color w:val="000000"/>
                <w:sz w:val="16"/>
                <w:szCs w:val="16"/>
              </w:rPr>
            </w:pPr>
            <w:r>
              <w:rPr>
                <w:rFonts w:hint="eastAsia" w:ascii="仿宋" w:hAnsi="仿宋" w:eastAsia="仿宋"/>
                <w:color w:val="000000"/>
                <w:sz w:val="16"/>
                <w:szCs w:val="16"/>
              </w:rPr>
              <w:t>校园项目服务业绩</w:t>
            </w:r>
          </w:p>
        </w:tc>
        <w:tc>
          <w:tcPr>
            <w:tcW w:w="4115" w:type="dxa"/>
            <w:vAlign w:val="center"/>
          </w:tcPr>
          <w:p>
            <w:pPr>
              <w:rPr>
                <w:rFonts w:ascii="仿宋" w:hAnsi="仿宋" w:eastAsia="仿宋"/>
                <w:color w:val="000000"/>
                <w:sz w:val="16"/>
                <w:szCs w:val="16"/>
              </w:rPr>
            </w:pPr>
            <w:r>
              <w:rPr>
                <w:rFonts w:hint="eastAsia" w:ascii="仿宋" w:hAnsi="仿宋" w:eastAsia="仿宋"/>
                <w:color w:val="000000"/>
                <w:sz w:val="16"/>
                <w:szCs w:val="16"/>
              </w:rPr>
              <w:t>投标人近五年具有十一学校体系服务业绩或其它相关学校供货业绩或其他行业优秀业绩（评标时提供相关证明材料）</w:t>
            </w:r>
          </w:p>
          <w:p>
            <w:pPr>
              <w:rPr>
                <w:rFonts w:ascii="仿宋" w:hAnsi="仿宋" w:eastAsia="仿宋"/>
                <w:color w:val="000000"/>
                <w:sz w:val="16"/>
                <w:szCs w:val="16"/>
              </w:rPr>
            </w:pPr>
            <w:r>
              <w:rPr>
                <w:rFonts w:hint="eastAsia" w:ascii="仿宋" w:hAnsi="仿宋" w:eastAsia="仿宋"/>
                <w:color w:val="000000"/>
                <w:sz w:val="16"/>
                <w:szCs w:val="16"/>
              </w:rPr>
              <w:t>优</w:t>
            </w:r>
            <w:r>
              <w:rPr>
                <w:rFonts w:ascii="仿宋" w:hAnsi="仿宋" w:eastAsia="仿宋"/>
                <w:color w:val="000000"/>
                <w:sz w:val="16"/>
                <w:szCs w:val="16"/>
              </w:rPr>
              <w:t>20</w:t>
            </w:r>
            <w:r>
              <w:rPr>
                <w:rFonts w:hint="eastAsia" w:ascii="仿宋" w:hAnsi="仿宋" w:eastAsia="仿宋"/>
                <w:color w:val="000000"/>
                <w:sz w:val="16"/>
                <w:szCs w:val="16"/>
              </w:rPr>
              <w:t>分，良</w:t>
            </w:r>
            <w:r>
              <w:rPr>
                <w:rFonts w:ascii="仿宋" w:hAnsi="仿宋" w:eastAsia="仿宋"/>
                <w:color w:val="000000"/>
                <w:sz w:val="16"/>
                <w:szCs w:val="16"/>
              </w:rPr>
              <w:t>15</w:t>
            </w:r>
            <w:r>
              <w:rPr>
                <w:rFonts w:hint="eastAsia" w:ascii="仿宋" w:hAnsi="仿宋" w:eastAsia="仿宋"/>
                <w:color w:val="000000"/>
                <w:sz w:val="16"/>
                <w:szCs w:val="16"/>
              </w:rPr>
              <w:t>分，差</w:t>
            </w:r>
            <w:r>
              <w:rPr>
                <w:rFonts w:ascii="仿宋" w:hAnsi="仿宋" w:eastAsia="仿宋"/>
                <w:color w:val="000000"/>
                <w:sz w:val="16"/>
                <w:szCs w:val="16"/>
              </w:rPr>
              <w:t>10</w:t>
            </w:r>
            <w:r>
              <w:rPr>
                <w:rFonts w:hint="eastAsia" w:ascii="仿宋" w:hAnsi="仿宋" w:eastAsia="仿宋"/>
                <w:color w:val="000000"/>
                <w:sz w:val="16"/>
                <w:szCs w:val="16"/>
              </w:rPr>
              <w:t>分以下.</w:t>
            </w:r>
          </w:p>
        </w:tc>
        <w:tc>
          <w:tcPr>
            <w:tcW w:w="992" w:type="dxa"/>
            <w:vAlign w:val="center"/>
          </w:tcPr>
          <w:p>
            <w:pPr>
              <w:jc w:val="center"/>
              <w:rPr>
                <w:rFonts w:eastAsiaTheme="minorEastAsia"/>
                <w:color w:val="000000"/>
                <w:sz w:val="16"/>
                <w:szCs w:val="16"/>
              </w:rPr>
            </w:pPr>
            <w:r>
              <w:rPr>
                <w:rFonts w:eastAsiaTheme="minorEastAsia"/>
                <w:color w:val="000000"/>
                <w:sz w:val="16"/>
                <w:szCs w:val="16"/>
              </w:rPr>
              <w:t>0-2</w:t>
            </w:r>
            <w:r>
              <w:rPr>
                <w:rFonts w:hint="eastAsia" w:eastAsiaTheme="minorEastAsia"/>
                <w:color w:val="000000"/>
                <w:sz w:val="16"/>
                <w:szCs w:val="16"/>
              </w:rPr>
              <w:t>0</w:t>
            </w:r>
          </w:p>
        </w:tc>
        <w:tc>
          <w:tcPr>
            <w:tcW w:w="1522" w:type="dxa"/>
            <w:vAlign w:val="center"/>
          </w:tcPr>
          <w:p>
            <w:pPr>
              <w:spacing w:line="276" w:lineRule="auto"/>
              <w:jc w:val="center"/>
              <w:rPr>
                <w:rFonts w:ascii="华文中宋" w:hAnsi="华文中宋" w:eastAsia="华文中宋"/>
                <w:color w:val="000000"/>
                <w:sz w:val="16"/>
                <w:szCs w:val="16"/>
              </w:rPr>
            </w:pPr>
          </w:p>
        </w:tc>
        <w:tc>
          <w:tcPr>
            <w:tcW w:w="1523" w:type="dxa"/>
            <w:vAlign w:val="center"/>
          </w:tcPr>
          <w:p>
            <w:pPr>
              <w:spacing w:line="276" w:lineRule="auto"/>
              <w:jc w:val="center"/>
              <w:rPr>
                <w:rFonts w:ascii="华文中宋" w:hAnsi="华文中宋" w:eastAsia="华文中宋"/>
                <w:color w:val="000000"/>
                <w:sz w:val="16"/>
                <w:szCs w:val="16"/>
                <w:highlight w:val="green"/>
              </w:rPr>
            </w:pPr>
          </w:p>
        </w:tc>
        <w:tc>
          <w:tcPr>
            <w:tcW w:w="1522" w:type="dxa"/>
            <w:vAlign w:val="center"/>
          </w:tcPr>
          <w:p>
            <w:pPr>
              <w:spacing w:line="276" w:lineRule="auto"/>
              <w:jc w:val="center"/>
              <w:rPr>
                <w:rFonts w:ascii="华文中宋" w:hAnsi="华文中宋" w:eastAsia="华文中宋"/>
                <w:color w:val="000000"/>
                <w:sz w:val="16"/>
                <w:szCs w:val="16"/>
                <w:highlight w:val="gree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217" w:type="dxa"/>
            <w:gridSpan w:val="4"/>
            <w:vAlign w:val="center"/>
          </w:tcPr>
          <w:p>
            <w:pPr>
              <w:spacing w:line="300" w:lineRule="auto"/>
              <w:ind w:left="-53" w:leftChars="-25" w:firstLine="50" w:firstLineChars="25"/>
              <w:jc w:val="center"/>
              <w:rPr>
                <w:rFonts w:ascii="仿宋" w:hAnsi="仿宋" w:eastAsia="仿宋"/>
                <w:color w:val="000000"/>
                <w:sz w:val="20"/>
                <w:szCs w:val="20"/>
              </w:rPr>
            </w:pPr>
            <w:r>
              <w:rPr>
                <w:rFonts w:hint="eastAsia" w:ascii="仿宋" w:hAnsi="仿宋" w:eastAsia="仿宋"/>
                <w:b/>
                <w:color w:val="000000"/>
                <w:sz w:val="20"/>
                <w:szCs w:val="20"/>
              </w:rPr>
              <w:t>合  计</w:t>
            </w:r>
          </w:p>
        </w:tc>
        <w:tc>
          <w:tcPr>
            <w:tcW w:w="992" w:type="dxa"/>
          </w:tcPr>
          <w:p>
            <w:pPr>
              <w:spacing w:line="300" w:lineRule="auto"/>
              <w:ind w:left="-53" w:leftChars="-25" w:firstLine="50" w:firstLineChars="25"/>
              <w:jc w:val="center"/>
              <w:rPr>
                <w:rFonts w:ascii="仿宋" w:hAnsi="仿宋" w:eastAsia="仿宋"/>
                <w:color w:val="000000"/>
                <w:sz w:val="20"/>
                <w:szCs w:val="20"/>
              </w:rPr>
            </w:pPr>
            <w:r>
              <w:rPr>
                <w:rFonts w:hint="eastAsia" w:ascii="仿宋" w:hAnsi="仿宋" w:eastAsia="仿宋"/>
                <w:color w:val="000000"/>
                <w:sz w:val="20"/>
                <w:szCs w:val="20"/>
              </w:rPr>
              <w:t>100</w:t>
            </w:r>
          </w:p>
        </w:tc>
        <w:tc>
          <w:tcPr>
            <w:tcW w:w="1522" w:type="dxa"/>
            <w:vAlign w:val="center"/>
          </w:tcPr>
          <w:p>
            <w:pPr>
              <w:spacing w:line="300" w:lineRule="auto"/>
              <w:ind w:left="-53" w:leftChars="-25" w:firstLine="50" w:firstLineChars="25"/>
              <w:jc w:val="center"/>
              <w:rPr>
                <w:rFonts w:ascii="仿宋" w:hAnsi="仿宋" w:eastAsia="仿宋"/>
                <w:color w:val="000000"/>
                <w:sz w:val="20"/>
                <w:szCs w:val="20"/>
              </w:rPr>
            </w:pPr>
          </w:p>
        </w:tc>
        <w:tc>
          <w:tcPr>
            <w:tcW w:w="1523" w:type="dxa"/>
            <w:vAlign w:val="center"/>
          </w:tcPr>
          <w:p>
            <w:pPr>
              <w:spacing w:line="300" w:lineRule="auto"/>
              <w:ind w:left="-53" w:leftChars="-25" w:firstLine="50" w:firstLineChars="25"/>
              <w:jc w:val="center"/>
              <w:rPr>
                <w:rFonts w:ascii="仿宋" w:hAnsi="仿宋" w:eastAsia="仿宋"/>
                <w:color w:val="000000"/>
                <w:sz w:val="20"/>
                <w:szCs w:val="20"/>
              </w:rPr>
            </w:pPr>
          </w:p>
        </w:tc>
        <w:tc>
          <w:tcPr>
            <w:tcW w:w="1522" w:type="dxa"/>
            <w:vAlign w:val="center"/>
          </w:tcPr>
          <w:p>
            <w:pPr>
              <w:spacing w:line="300" w:lineRule="auto"/>
              <w:ind w:left="-53" w:leftChars="-25" w:firstLine="50" w:firstLineChars="25"/>
              <w:jc w:val="center"/>
              <w:rPr>
                <w:rFonts w:ascii="仿宋" w:hAnsi="仿宋" w:eastAsia="仿宋"/>
                <w:color w:val="000000"/>
                <w:sz w:val="20"/>
                <w:szCs w:val="20"/>
              </w:rPr>
            </w:pPr>
          </w:p>
        </w:tc>
      </w:tr>
    </w:tbl>
    <w:p>
      <w:pPr>
        <w:pStyle w:val="4"/>
        <w:spacing w:line="600" w:lineRule="auto"/>
        <w:ind w:firstLine="735" w:firstLineChars="350"/>
        <w:rPr>
          <w:rFonts w:ascii="仿宋" w:hAnsi="仿宋" w:eastAsia="仿宋"/>
          <w:bCs/>
          <w:color w:val="000000"/>
          <w:sz w:val="21"/>
          <w:szCs w:val="21"/>
        </w:rPr>
      </w:pPr>
      <w:r>
        <w:rPr>
          <w:rFonts w:hint="eastAsia" w:ascii="仿宋" w:hAnsi="仿宋" w:eastAsia="仿宋"/>
          <w:bCs/>
          <w:color w:val="000000"/>
          <w:sz w:val="21"/>
          <w:szCs w:val="21"/>
        </w:rPr>
        <w:t>备注:根据招标文件要求响应情况对以上描述进行评分。</w:t>
      </w:r>
    </w:p>
    <w:p>
      <w:pPr>
        <w:spacing w:line="600" w:lineRule="auto"/>
        <w:ind w:firstLine="721" w:firstLineChars="300"/>
        <w:rPr>
          <w:rFonts w:ascii="微软雅黑" w:hAnsi="微软雅黑" w:eastAsia="微软雅黑" w:cs="Arial"/>
          <w:color w:val="777777"/>
          <w:kern w:val="0"/>
          <w:szCs w:val="21"/>
        </w:rPr>
      </w:pPr>
      <w:r>
        <w:rPr>
          <w:rFonts w:hint="eastAsia" w:ascii="华文中宋" w:hAnsi="华文中宋" w:eastAsia="华文中宋"/>
          <w:b/>
          <w:sz w:val="24"/>
        </w:rPr>
        <w:t xml:space="preserve">评分人签字：                                 </w:t>
      </w:r>
      <w:r>
        <w:rPr>
          <w:rFonts w:ascii="华文中宋" w:hAnsi="华文中宋" w:eastAsia="华文中宋"/>
          <w:b/>
          <w:sz w:val="24"/>
        </w:rPr>
        <w:t xml:space="preserve">                </w:t>
      </w:r>
      <w:r>
        <w:rPr>
          <w:rFonts w:hint="eastAsia" w:ascii="华文中宋" w:hAnsi="华文中宋" w:eastAsia="华文中宋"/>
          <w:b/>
          <w:sz w:val="24"/>
        </w:rPr>
        <w:t xml:space="preserve">    评分日期:</w:t>
      </w:r>
    </w:p>
    <w:p>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MWNkN2Q3Zjk1Njg0NTA0YmY5NjAyMTkzMjQ3NGUifQ=="/>
  </w:docVars>
  <w:rsids>
    <w:rsidRoot w:val="3AF06565"/>
    <w:rsid w:val="3AF0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2024-06-25T08:32:00Z</dcterms:created>
  <dc:creator>轻舟梦入浦</dc:creator>
  <cp:lastModifiedBy>轻舟梦入浦</cp:lastModifiedBy>
  <dcterms:modified xsi:type="dcterms:W3CDTF">2024-06-25T08:32:57Z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7D736CC96CF846F9B2AA11F5E2E232B1_11</vt:lpwstr>
  </property>
</Properties>
</file>